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E3" w:rsidRDefault="008B63E3" w:rsidP="008B63E3">
      <w:pP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Приложение №1</w:t>
      </w:r>
    </w:p>
    <w:p w:rsidR="008B63E3" w:rsidRDefault="008B63E3" w:rsidP="008B63E3">
      <w:pP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</w:pPr>
      <w:proofErr w:type="gramStart"/>
      <w:r>
        <w:rPr>
          <w:rFonts w:eastAsia="Times New Roman"/>
          <w:spacing w:val="-4"/>
          <w:sz w:val="24"/>
          <w:szCs w:val="24"/>
        </w:rPr>
        <w:t>к</w:t>
      </w:r>
      <w:proofErr w:type="gramEnd"/>
      <w:r>
        <w:rPr>
          <w:rFonts w:eastAsia="Times New Roman"/>
          <w:spacing w:val="-4"/>
          <w:sz w:val="24"/>
          <w:szCs w:val="24"/>
        </w:rPr>
        <w:t xml:space="preserve"> Положению о центре оценки квалификации</w:t>
      </w:r>
    </w:p>
    <w:p w:rsidR="008B63E3" w:rsidRDefault="008B63E3" w:rsidP="008B63E3">
      <w:pP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</w:pPr>
    </w:p>
    <w:p w:rsidR="008B63E3" w:rsidRPr="00BA314A" w:rsidRDefault="008B63E3" w:rsidP="008B63E3">
      <w:pPr>
        <w:shd w:val="clear" w:color="auto" w:fill="FFFFFF"/>
        <w:suppressAutoHyphens/>
        <w:ind w:left="14" w:firstLine="720"/>
        <w:jc w:val="center"/>
        <w:rPr>
          <w:rFonts w:eastAsia="Times New Roman"/>
          <w:spacing w:val="-4"/>
          <w:sz w:val="24"/>
          <w:szCs w:val="24"/>
        </w:rPr>
      </w:pPr>
      <w:r w:rsidRPr="00BA314A">
        <w:rPr>
          <w:sz w:val="24"/>
          <w:szCs w:val="24"/>
        </w:rPr>
        <w:t>Перечень наименований профессиональных квалификаций</w:t>
      </w:r>
    </w:p>
    <w:p w:rsidR="008B63E3" w:rsidRDefault="008B63E3" w:rsidP="008B63E3">
      <w:pP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</w:pPr>
    </w:p>
    <w:tbl>
      <w:tblPr>
        <w:tblStyle w:val="a3"/>
        <w:tblW w:w="15245" w:type="dxa"/>
        <w:tblInd w:w="14" w:type="dxa"/>
        <w:tblLook w:val="04A0" w:firstRow="1" w:lastRow="0" w:firstColumn="1" w:lastColumn="0" w:noHBand="0" w:noVBand="1"/>
      </w:tblPr>
      <w:tblGrid>
        <w:gridCol w:w="2069"/>
        <w:gridCol w:w="2204"/>
        <w:gridCol w:w="2155"/>
        <w:gridCol w:w="1632"/>
        <w:gridCol w:w="1126"/>
        <w:gridCol w:w="2101"/>
        <w:gridCol w:w="1889"/>
        <w:gridCol w:w="2069"/>
      </w:tblGrid>
      <w:tr w:rsidR="008B63E3" w:rsidTr="00477E11">
        <w:tc>
          <w:tcPr>
            <w:tcW w:w="2069" w:type="dxa"/>
          </w:tcPr>
          <w:p w:rsidR="008B63E3" w:rsidRPr="001A35C5" w:rsidRDefault="008B63E3" w:rsidP="00477E11">
            <w:pPr>
              <w:pStyle w:val="Default"/>
            </w:pPr>
            <w:r w:rsidRPr="00E87FCA">
              <w:rPr>
                <w:sz w:val="23"/>
                <w:szCs w:val="23"/>
              </w:rPr>
              <w:t>Регистрационный номер профессиональной квалификации*)</w:t>
            </w:r>
          </w:p>
        </w:tc>
        <w:tc>
          <w:tcPr>
            <w:tcW w:w="2204" w:type="dxa"/>
          </w:tcPr>
          <w:p w:rsidR="008B63E3" w:rsidRPr="001A35C5" w:rsidRDefault="008B63E3" w:rsidP="00477E11">
            <w:pPr>
              <w:pStyle w:val="Default"/>
            </w:pPr>
            <w:r w:rsidRPr="00E87FCA">
              <w:rPr>
                <w:sz w:val="23"/>
                <w:szCs w:val="23"/>
              </w:rPr>
              <w:t>Наименование профессиональной квалификации</w:t>
            </w:r>
          </w:p>
        </w:tc>
        <w:tc>
          <w:tcPr>
            <w:tcW w:w="2155" w:type="dxa"/>
          </w:tcPr>
          <w:p w:rsidR="008B63E3" w:rsidRPr="00C270ED" w:rsidRDefault="008B63E3" w:rsidP="00477E11">
            <w:pPr>
              <w:pStyle w:val="Default"/>
            </w:pPr>
            <w:r w:rsidRPr="00E87FCA">
              <w:rPr>
                <w:sz w:val="23"/>
                <w:szCs w:val="23"/>
              </w:rPr>
              <w:t>Наименование и реквизиты профессионального стандарта</w:t>
            </w:r>
          </w:p>
        </w:tc>
        <w:tc>
          <w:tcPr>
            <w:tcW w:w="1632" w:type="dxa"/>
          </w:tcPr>
          <w:p w:rsidR="008B63E3" w:rsidRPr="00C270ED" w:rsidRDefault="008B63E3" w:rsidP="00477E11">
            <w:pPr>
              <w:pStyle w:val="Default"/>
            </w:pPr>
            <w:r w:rsidRPr="00E87FCA">
              <w:rPr>
                <w:sz w:val="23"/>
                <w:szCs w:val="23"/>
              </w:rPr>
              <w:t>Уровень квалификации</w:t>
            </w:r>
          </w:p>
        </w:tc>
        <w:tc>
          <w:tcPr>
            <w:tcW w:w="1126" w:type="dxa"/>
          </w:tcPr>
          <w:p w:rsidR="008B63E3" w:rsidRPr="00C270ED" w:rsidRDefault="008B63E3" w:rsidP="00477E11">
            <w:pPr>
              <w:pStyle w:val="Default"/>
            </w:pPr>
            <w:r w:rsidRPr="00E87FCA">
              <w:rPr>
                <w:sz w:val="23"/>
                <w:szCs w:val="23"/>
              </w:rPr>
              <w:t>Код (-ы) трудовой функции</w:t>
            </w:r>
          </w:p>
        </w:tc>
        <w:tc>
          <w:tcPr>
            <w:tcW w:w="2101" w:type="dxa"/>
          </w:tcPr>
          <w:p w:rsidR="008B63E3" w:rsidRPr="00C270ED" w:rsidRDefault="008B63E3" w:rsidP="00477E11">
            <w:pPr>
              <w:pStyle w:val="Default"/>
            </w:pPr>
            <w:r w:rsidRPr="00E87FCA">
              <w:rPr>
                <w:sz w:val="23"/>
                <w:szCs w:val="23"/>
              </w:rPr>
              <w:t>Наименование трудовой(-ых) функции</w:t>
            </w:r>
          </w:p>
        </w:tc>
        <w:tc>
          <w:tcPr>
            <w:tcW w:w="1889" w:type="dxa"/>
          </w:tcPr>
          <w:p w:rsidR="008B63E3" w:rsidRPr="00C270ED" w:rsidRDefault="008B63E3" w:rsidP="00477E11">
            <w:pPr>
              <w:pStyle w:val="Default"/>
            </w:pPr>
            <w:r w:rsidRPr="00E87FCA">
              <w:rPr>
                <w:sz w:val="23"/>
                <w:szCs w:val="23"/>
              </w:rPr>
              <w:t>Дополнительные сведения</w:t>
            </w:r>
          </w:p>
        </w:tc>
        <w:tc>
          <w:tcPr>
            <w:tcW w:w="2069" w:type="dxa"/>
          </w:tcPr>
          <w:p w:rsidR="008B63E3" w:rsidRPr="00C270ED" w:rsidRDefault="008B63E3" w:rsidP="00477E11">
            <w:pPr>
              <w:pStyle w:val="Default"/>
            </w:pPr>
            <w:r w:rsidRPr="00E87FCA">
              <w:rPr>
                <w:sz w:val="23"/>
                <w:szCs w:val="23"/>
              </w:rPr>
              <w:t>Срок действия свидетельства о профессиональной квалификации</w:t>
            </w:r>
          </w:p>
        </w:tc>
      </w:tr>
      <w:tr w:rsidR="008B63E3" w:rsidTr="00477E11">
        <w:tc>
          <w:tcPr>
            <w:tcW w:w="20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0"/>
              <w:gridCol w:w="222"/>
            </w:tblGrid>
            <w:tr w:rsidR="008B63E3" w:rsidRPr="00E87FCA" w:rsidTr="00477E11">
              <w:trPr>
                <w:trHeight w:val="271"/>
              </w:trPr>
              <w:tc>
                <w:tcPr>
                  <w:tcW w:w="0" w:type="auto"/>
                </w:tcPr>
                <w:p w:rsidR="008B63E3" w:rsidRPr="00E87FCA" w:rsidRDefault="008B63E3" w:rsidP="00477E11">
                  <w:pPr>
                    <w:widowControl/>
                    <w:rPr>
                      <w:color w:val="000000"/>
                      <w:sz w:val="22"/>
                      <w:szCs w:val="22"/>
                    </w:rPr>
                  </w:pPr>
                  <w:r w:rsidRPr="00E87FCA">
                    <w:rPr>
                      <w:color w:val="000000"/>
                      <w:sz w:val="22"/>
                      <w:szCs w:val="22"/>
                    </w:rPr>
                    <w:t xml:space="preserve">02-00012 </w:t>
                  </w:r>
                </w:p>
              </w:tc>
              <w:tc>
                <w:tcPr>
                  <w:tcW w:w="0" w:type="auto"/>
                </w:tcPr>
                <w:p w:rsidR="008B63E3" w:rsidRPr="00E87FCA" w:rsidRDefault="008B63E3" w:rsidP="00477E11">
                  <w:pPr>
                    <w:widowControl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B63E3" w:rsidRPr="00E87FCA" w:rsidTr="00477E11">
              <w:trPr>
                <w:trHeight w:val="271"/>
              </w:trPr>
              <w:tc>
                <w:tcPr>
                  <w:tcW w:w="0" w:type="auto"/>
                </w:tcPr>
                <w:p w:rsidR="008B63E3" w:rsidRPr="00E87FCA" w:rsidRDefault="008B63E3" w:rsidP="00477E11">
                  <w:pPr>
                    <w:widowControl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8B63E3" w:rsidRPr="00E87FCA" w:rsidRDefault="008B63E3" w:rsidP="00477E11">
                  <w:pPr>
                    <w:widowControl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204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E87FCA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155" w:type="dxa"/>
            <w:vMerge w:val="restart"/>
          </w:tcPr>
          <w:p w:rsidR="008B63E3" w:rsidRDefault="008B63E3" w:rsidP="00477E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«Бухгалтер» (код 08.002, рег.№309, Приказ Минтруда России №1061н от 22.12.2014г., зарегистрирован Минюстом России 23.01.2015г., рег.№ 35697) </w:t>
            </w:r>
          </w:p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8B63E3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126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"/>
            </w:tblGrid>
            <w:tr w:rsidR="008B63E3" w:rsidRPr="00E87FCA" w:rsidTr="00477E11">
              <w:trPr>
                <w:trHeight w:val="2042"/>
              </w:trPr>
              <w:tc>
                <w:tcPr>
                  <w:tcW w:w="0" w:type="auto"/>
                </w:tcPr>
                <w:p w:rsidR="008B63E3" w:rsidRPr="00E87FCA" w:rsidRDefault="008B63E3" w:rsidP="00477E11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87FCA">
                    <w:rPr>
                      <w:color w:val="000000"/>
                      <w:sz w:val="22"/>
                      <w:szCs w:val="22"/>
                    </w:rPr>
                    <w:t>А</w:t>
                  </w:r>
                </w:p>
              </w:tc>
            </w:tr>
          </w:tbl>
          <w:p w:rsidR="008B63E3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E87FCA">
              <w:rPr>
                <w:color w:val="000000"/>
                <w:sz w:val="22"/>
                <w:szCs w:val="22"/>
              </w:rPr>
              <w:t>Принятие к учету первичных учетных документов о фактах хозяйственной жизни экономического субъекта, денежные измерения объектов бухгалтерского учета, текущая группировка и итоговое обобщение фактов хозяйственной жизни</w:t>
            </w:r>
          </w:p>
        </w:tc>
        <w:tc>
          <w:tcPr>
            <w:tcW w:w="1889" w:type="dxa"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3E3" w:rsidRPr="009F2EC8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8B63E3" w:rsidTr="00477E11">
        <w:tc>
          <w:tcPr>
            <w:tcW w:w="20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0"/>
              <w:gridCol w:w="222"/>
            </w:tblGrid>
            <w:tr w:rsidR="008B63E3" w:rsidRPr="00E87FCA" w:rsidTr="00477E11">
              <w:trPr>
                <w:trHeight w:val="398"/>
              </w:trPr>
              <w:tc>
                <w:tcPr>
                  <w:tcW w:w="0" w:type="auto"/>
                </w:tcPr>
                <w:p w:rsidR="008B63E3" w:rsidRPr="00E87FCA" w:rsidRDefault="008B63E3" w:rsidP="00477E11">
                  <w:pPr>
                    <w:widowControl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02-00013</w:t>
                  </w:r>
                  <w:r w:rsidRPr="00E87FC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8B63E3" w:rsidRPr="00E87FCA" w:rsidRDefault="008B63E3" w:rsidP="00477E11">
                  <w:pPr>
                    <w:widowControl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204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9F2EC8">
              <w:rPr>
                <w:color w:val="000000"/>
                <w:sz w:val="22"/>
                <w:szCs w:val="22"/>
              </w:rPr>
              <w:t>Бухгалтер организации государственного сектора</w:t>
            </w:r>
          </w:p>
        </w:tc>
        <w:tc>
          <w:tcPr>
            <w:tcW w:w="2155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3E3" w:rsidRPr="009F2EC8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8B63E3" w:rsidTr="00477E11">
        <w:tc>
          <w:tcPr>
            <w:tcW w:w="20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0"/>
              <w:gridCol w:w="222"/>
            </w:tblGrid>
            <w:tr w:rsidR="008B63E3" w:rsidRPr="00E87FCA" w:rsidTr="00477E11">
              <w:trPr>
                <w:trHeight w:val="398"/>
              </w:trPr>
              <w:tc>
                <w:tcPr>
                  <w:tcW w:w="0" w:type="auto"/>
                </w:tcPr>
                <w:p w:rsidR="008B63E3" w:rsidRPr="00E87FCA" w:rsidRDefault="008B63E3" w:rsidP="00477E11">
                  <w:pPr>
                    <w:widowControl/>
                    <w:rPr>
                      <w:color w:val="000000"/>
                      <w:sz w:val="22"/>
                      <w:szCs w:val="22"/>
                    </w:rPr>
                  </w:pPr>
                  <w:r w:rsidRPr="00E87FCA">
                    <w:rPr>
                      <w:color w:val="000000"/>
                      <w:sz w:val="22"/>
                      <w:szCs w:val="22"/>
                    </w:rPr>
                    <w:t xml:space="preserve">02-00014 </w:t>
                  </w:r>
                </w:p>
              </w:tc>
              <w:tc>
                <w:tcPr>
                  <w:tcW w:w="0" w:type="auto"/>
                </w:tcPr>
                <w:p w:rsidR="008B63E3" w:rsidRPr="00E87FCA" w:rsidRDefault="008B63E3" w:rsidP="00477E11">
                  <w:pPr>
                    <w:widowControl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204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E87FCA">
              <w:rPr>
                <w:color w:val="000000"/>
                <w:sz w:val="22"/>
                <w:szCs w:val="22"/>
              </w:rPr>
              <w:t>Бухгалтер финансовой организации</w:t>
            </w:r>
          </w:p>
        </w:tc>
        <w:tc>
          <w:tcPr>
            <w:tcW w:w="2155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3E3" w:rsidRPr="009F2EC8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8B63E3" w:rsidTr="00477E11"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02-00015</w:t>
            </w:r>
          </w:p>
        </w:tc>
        <w:tc>
          <w:tcPr>
            <w:tcW w:w="2204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675171">
              <w:rPr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2155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8B63E3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126" w:type="dxa"/>
            <w:vMerge w:val="restart"/>
          </w:tcPr>
          <w:p w:rsidR="008B63E3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675171">
              <w:rPr>
                <w:color w:val="000000"/>
                <w:sz w:val="22"/>
                <w:szCs w:val="22"/>
              </w:rPr>
              <w:t>В/01.6</w:t>
            </w:r>
          </w:p>
        </w:tc>
        <w:tc>
          <w:tcPr>
            <w:tcW w:w="2101" w:type="dxa"/>
            <w:vMerge w:val="restart"/>
          </w:tcPr>
          <w:p w:rsidR="008B63E3" w:rsidRPr="009F2EC8" w:rsidRDefault="008B63E3" w:rsidP="00477E11">
            <w:pPr>
              <w:suppressAutoHyphens/>
              <w:rPr>
                <w:color w:val="000000"/>
                <w:sz w:val="22"/>
                <w:szCs w:val="22"/>
              </w:rPr>
            </w:pPr>
            <w:r w:rsidRPr="009F2EC8">
              <w:rPr>
                <w:color w:val="000000"/>
                <w:sz w:val="22"/>
                <w:szCs w:val="22"/>
              </w:rPr>
              <w:t>Составление бухгалтерской (финансовой) отчетности</w:t>
            </w:r>
          </w:p>
        </w:tc>
        <w:tc>
          <w:tcPr>
            <w:tcW w:w="1889" w:type="dxa"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3E3" w:rsidRPr="009F2EC8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8B63E3" w:rsidTr="00477E11"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02-00016</w:t>
            </w:r>
          </w:p>
        </w:tc>
        <w:tc>
          <w:tcPr>
            <w:tcW w:w="2204" w:type="dxa"/>
          </w:tcPr>
          <w:p w:rsidR="008B63E3" w:rsidRPr="009F2EC8" w:rsidRDefault="008B63E3" w:rsidP="00477E11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б</w:t>
            </w:r>
            <w:r w:rsidRPr="009F2EC8">
              <w:rPr>
                <w:color w:val="000000"/>
                <w:sz w:val="22"/>
                <w:szCs w:val="22"/>
              </w:rPr>
              <w:t>ухгалтер организации государственного сектора</w:t>
            </w:r>
          </w:p>
        </w:tc>
        <w:tc>
          <w:tcPr>
            <w:tcW w:w="2155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3E3" w:rsidRPr="009F2EC8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8B63E3" w:rsidTr="00477E11"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02-00017</w:t>
            </w:r>
          </w:p>
        </w:tc>
        <w:tc>
          <w:tcPr>
            <w:tcW w:w="2204" w:type="dxa"/>
          </w:tcPr>
          <w:p w:rsidR="008B63E3" w:rsidRPr="009F2EC8" w:rsidRDefault="008B63E3" w:rsidP="00477E11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б</w:t>
            </w:r>
            <w:r w:rsidRPr="009F2EC8">
              <w:rPr>
                <w:color w:val="000000"/>
                <w:sz w:val="22"/>
                <w:szCs w:val="22"/>
              </w:rPr>
              <w:t>ухгалтер финансовой организации</w:t>
            </w:r>
          </w:p>
        </w:tc>
        <w:tc>
          <w:tcPr>
            <w:tcW w:w="2155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3E3" w:rsidRPr="009F2EC8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8B63E3" w:rsidTr="00477E11"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9F2EC8">
              <w:rPr>
                <w:rFonts w:eastAsia="Times New Roman"/>
                <w:spacing w:val="-4"/>
                <w:sz w:val="24"/>
                <w:szCs w:val="24"/>
              </w:rPr>
              <w:t xml:space="preserve">02 - 00018 </w:t>
            </w:r>
          </w:p>
        </w:tc>
        <w:tc>
          <w:tcPr>
            <w:tcW w:w="2204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9F2EC8">
              <w:rPr>
                <w:rFonts w:eastAsia="Times New Roman"/>
                <w:spacing w:val="-4"/>
                <w:sz w:val="24"/>
                <w:szCs w:val="24"/>
              </w:rPr>
              <w:t xml:space="preserve">Главный бухгалтер с функцией </w:t>
            </w:r>
            <w:r w:rsidRPr="009F2EC8">
              <w:rPr>
                <w:rFonts w:eastAsia="Times New Roman"/>
                <w:spacing w:val="-4"/>
                <w:sz w:val="24"/>
                <w:szCs w:val="24"/>
              </w:rPr>
              <w:lastRenderedPageBreak/>
              <w:t>составления консолидированной финансовой отчетности</w:t>
            </w:r>
          </w:p>
        </w:tc>
        <w:tc>
          <w:tcPr>
            <w:tcW w:w="2155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8B63E3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126" w:type="dxa"/>
            <w:vMerge w:val="restart"/>
          </w:tcPr>
          <w:p w:rsidR="008B63E3" w:rsidRPr="009F2EC8" w:rsidRDefault="008B63E3" w:rsidP="00477E1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F2EC8">
              <w:rPr>
                <w:color w:val="000000"/>
                <w:sz w:val="22"/>
                <w:szCs w:val="22"/>
              </w:rPr>
              <w:t>В/02.6</w:t>
            </w:r>
          </w:p>
        </w:tc>
        <w:tc>
          <w:tcPr>
            <w:tcW w:w="2101" w:type="dxa"/>
            <w:vMerge w:val="restart"/>
          </w:tcPr>
          <w:p w:rsidR="008B63E3" w:rsidRPr="009F2EC8" w:rsidRDefault="008B63E3" w:rsidP="00477E1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F2EC8">
              <w:rPr>
                <w:color w:val="000000"/>
                <w:sz w:val="22"/>
                <w:szCs w:val="22"/>
              </w:rPr>
              <w:t xml:space="preserve">Составление консолидированной </w:t>
            </w:r>
            <w:r w:rsidRPr="009F2EC8">
              <w:rPr>
                <w:color w:val="000000"/>
                <w:sz w:val="22"/>
                <w:szCs w:val="22"/>
              </w:rPr>
              <w:lastRenderedPageBreak/>
              <w:t>финансовой отчетности в соответствии с Международными стандартами финансовой отчетности или Международными стандартами финансовой отчетности для общественного сектора</w:t>
            </w:r>
          </w:p>
        </w:tc>
        <w:tc>
          <w:tcPr>
            <w:tcW w:w="1889" w:type="dxa"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3E3" w:rsidRPr="009F2EC8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8B63E3" w:rsidTr="00477E11"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9F2EC8">
              <w:rPr>
                <w:rFonts w:eastAsia="Times New Roman"/>
                <w:spacing w:val="-4"/>
                <w:sz w:val="24"/>
                <w:szCs w:val="24"/>
              </w:rPr>
              <w:lastRenderedPageBreak/>
              <w:t xml:space="preserve">02 - 00019 </w:t>
            </w:r>
          </w:p>
        </w:tc>
        <w:tc>
          <w:tcPr>
            <w:tcW w:w="2204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9F2EC8">
              <w:rPr>
                <w:rFonts w:eastAsia="Times New Roman"/>
                <w:spacing w:val="-4"/>
                <w:sz w:val="24"/>
                <w:szCs w:val="24"/>
              </w:rPr>
              <w:t>Главный бухгалтер организации государственного сектора с функцией составления консолидированной финансовой отчетности</w:t>
            </w:r>
          </w:p>
        </w:tc>
        <w:tc>
          <w:tcPr>
            <w:tcW w:w="2155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3E3" w:rsidRPr="009F2EC8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8B63E3" w:rsidTr="00477E11"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9F2EC8">
              <w:rPr>
                <w:rFonts w:eastAsia="Times New Roman"/>
                <w:spacing w:val="-4"/>
                <w:sz w:val="24"/>
                <w:szCs w:val="24"/>
              </w:rPr>
              <w:t>02 - 00020</w:t>
            </w:r>
          </w:p>
        </w:tc>
        <w:tc>
          <w:tcPr>
            <w:tcW w:w="2204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9F2EC8">
              <w:rPr>
                <w:rFonts w:eastAsia="Times New Roman"/>
                <w:spacing w:val="-4"/>
                <w:sz w:val="24"/>
                <w:szCs w:val="24"/>
              </w:rPr>
              <w:t>Главный бухгалтер финансовой организации с функцией составления консолидированной финансовой отчетности</w:t>
            </w:r>
          </w:p>
        </w:tc>
        <w:tc>
          <w:tcPr>
            <w:tcW w:w="2155" w:type="dxa"/>
            <w:vMerge w:val="restart"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3E3" w:rsidRPr="009F2EC8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8B63E3" w:rsidTr="00477E11"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0A3008">
              <w:rPr>
                <w:rFonts w:eastAsia="Times New Roman"/>
                <w:spacing w:val="-4"/>
                <w:sz w:val="24"/>
                <w:szCs w:val="24"/>
              </w:rPr>
              <w:t xml:space="preserve">02 - 00021 </w:t>
            </w:r>
          </w:p>
        </w:tc>
        <w:tc>
          <w:tcPr>
            <w:tcW w:w="2204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0A3008">
              <w:rPr>
                <w:rFonts w:eastAsia="Times New Roman"/>
                <w:spacing w:val="-4"/>
                <w:sz w:val="24"/>
                <w:szCs w:val="24"/>
              </w:rPr>
              <w:t>Главный бухгалтер с функцией внутреннего контроля</w:t>
            </w:r>
          </w:p>
        </w:tc>
        <w:tc>
          <w:tcPr>
            <w:tcW w:w="2155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8B63E3" w:rsidRPr="000A3008" w:rsidRDefault="008B63E3" w:rsidP="00477E1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A3008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126" w:type="dxa"/>
            <w:vMerge w:val="restart"/>
          </w:tcPr>
          <w:p w:rsidR="008B63E3" w:rsidRPr="000A3008" w:rsidRDefault="008B63E3" w:rsidP="00477E1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A3008">
              <w:rPr>
                <w:color w:val="000000"/>
                <w:sz w:val="22"/>
                <w:szCs w:val="22"/>
              </w:rPr>
              <w:t>В/03.6</w:t>
            </w:r>
          </w:p>
        </w:tc>
        <w:tc>
          <w:tcPr>
            <w:tcW w:w="2101" w:type="dxa"/>
            <w:vMerge w:val="restart"/>
          </w:tcPr>
          <w:p w:rsidR="008B63E3" w:rsidRPr="000A3008" w:rsidRDefault="008B63E3" w:rsidP="00477E1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A3008">
              <w:rPr>
                <w:color w:val="000000"/>
                <w:sz w:val="22"/>
                <w:szCs w:val="22"/>
              </w:rPr>
              <w:t>Внутренний контроль ведения бухгалтерского учета и составления бухгалтерской (финансовой)</w:t>
            </w:r>
          </w:p>
        </w:tc>
        <w:tc>
          <w:tcPr>
            <w:tcW w:w="1889" w:type="dxa"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3E3" w:rsidRPr="009F2EC8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8B63E3" w:rsidTr="00477E11"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0A3008">
              <w:rPr>
                <w:rFonts w:eastAsia="Times New Roman"/>
                <w:spacing w:val="-4"/>
                <w:sz w:val="24"/>
                <w:szCs w:val="24"/>
              </w:rPr>
              <w:t xml:space="preserve">02 - 00022 </w:t>
            </w:r>
          </w:p>
        </w:tc>
        <w:tc>
          <w:tcPr>
            <w:tcW w:w="2204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0A3008">
              <w:rPr>
                <w:rFonts w:eastAsia="Times New Roman"/>
                <w:spacing w:val="-4"/>
                <w:sz w:val="24"/>
                <w:szCs w:val="24"/>
              </w:rPr>
              <w:t>Главный бухгалтер организации государственного сектора с функцией внутреннего контроля</w:t>
            </w:r>
          </w:p>
        </w:tc>
        <w:tc>
          <w:tcPr>
            <w:tcW w:w="2155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8B63E3" w:rsidRPr="000A3008" w:rsidRDefault="008B63E3" w:rsidP="00477E1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</w:tcPr>
          <w:p w:rsidR="008B63E3" w:rsidRPr="000A3008" w:rsidRDefault="008B63E3" w:rsidP="00477E1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8B63E3" w:rsidRPr="000A3008" w:rsidRDefault="008B63E3" w:rsidP="00477E1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3E3" w:rsidRPr="009F2EC8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8B63E3" w:rsidTr="00477E11"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0A3008">
              <w:rPr>
                <w:rFonts w:eastAsia="Times New Roman"/>
                <w:spacing w:val="-4"/>
                <w:sz w:val="24"/>
                <w:szCs w:val="24"/>
              </w:rPr>
              <w:t xml:space="preserve">02 - 00023 </w:t>
            </w:r>
          </w:p>
        </w:tc>
        <w:tc>
          <w:tcPr>
            <w:tcW w:w="2204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0A3008">
              <w:rPr>
                <w:rFonts w:eastAsia="Times New Roman"/>
                <w:spacing w:val="-4"/>
                <w:sz w:val="24"/>
                <w:szCs w:val="24"/>
              </w:rPr>
              <w:t xml:space="preserve">Главный бухгалтер финансовой организации с функцией </w:t>
            </w:r>
            <w:r w:rsidRPr="000A3008">
              <w:rPr>
                <w:rFonts w:eastAsia="Times New Roman"/>
                <w:spacing w:val="-4"/>
                <w:sz w:val="24"/>
                <w:szCs w:val="24"/>
              </w:rPr>
              <w:lastRenderedPageBreak/>
              <w:t>внутреннего контроля</w:t>
            </w:r>
          </w:p>
        </w:tc>
        <w:tc>
          <w:tcPr>
            <w:tcW w:w="2155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8B63E3" w:rsidRDefault="008B63E3" w:rsidP="00477E11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3E3" w:rsidRPr="009F2EC8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8B63E3" w:rsidTr="00477E11"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5C4CB9">
              <w:rPr>
                <w:rFonts w:eastAsia="Times New Roman"/>
                <w:spacing w:val="-4"/>
                <w:sz w:val="24"/>
                <w:szCs w:val="24"/>
              </w:rPr>
              <w:lastRenderedPageBreak/>
              <w:t xml:space="preserve">02 - 00024 </w:t>
            </w:r>
          </w:p>
        </w:tc>
        <w:tc>
          <w:tcPr>
            <w:tcW w:w="2204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5C4CB9">
              <w:rPr>
                <w:rFonts w:eastAsia="Times New Roman"/>
                <w:spacing w:val="-4"/>
                <w:sz w:val="24"/>
                <w:szCs w:val="24"/>
              </w:rPr>
              <w:t>Главный бухгалтер с функцией налогообложения</w:t>
            </w:r>
          </w:p>
        </w:tc>
        <w:tc>
          <w:tcPr>
            <w:tcW w:w="2155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</w:tcPr>
          <w:p w:rsidR="008B63E3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5C4CB9">
              <w:rPr>
                <w:rFonts w:eastAsia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8B63E3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5C4CB9">
              <w:rPr>
                <w:rFonts w:eastAsia="Times New Roman"/>
                <w:spacing w:val="-4"/>
                <w:sz w:val="24"/>
                <w:szCs w:val="24"/>
              </w:rPr>
              <w:t>В/04.6</w:t>
            </w:r>
          </w:p>
        </w:tc>
        <w:tc>
          <w:tcPr>
            <w:tcW w:w="2101" w:type="dxa"/>
          </w:tcPr>
          <w:p w:rsidR="008B63E3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5C4CB9">
              <w:rPr>
                <w:rFonts w:eastAsia="Times New Roman"/>
                <w:spacing w:val="-4"/>
                <w:sz w:val="24"/>
                <w:szCs w:val="24"/>
              </w:rPr>
              <w:t>Ведение налогового учета и составление налоговой отчетности, налоговое планирование</w:t>
            </w:r>
          </w:p>
        </w:tc>
        <w:tc>
          <w:tcPr>
            <w:tcW w:w="188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8B63E3" w:rsidTr="00477E11"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 xml:space="preserve">02 - 00025 </w:t>
            </w:r>
          </w:p>
        </w:tc>
        <w:tc>
          <w:tcPr>
            <w:tcW w:w="2204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>Главный бухгалтер с функцией управления финансами</w:t>
            </w:r>
          </w:p>
        </w:tc>
        <w:tc>
          <w:tcPr>
            <w:tcW w:w="2155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8B63E3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126" w:type="dxa"/>
            <w:vMerge w:val="restart"/>
          </w:tcPr>
          <w:p w:rsidR="008B63E3" w:rsidRDefault="008B63E3" w:rsidP="00477E1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>В/05.6</w:t>
            </w:r>
          </w:p>
        </w:tc>
        <w:tc>
          <w:tcPr>
            <w:tcW w:w="2101" w:type="dxa"/>
            <w:vMerge w:val="restart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>Проведение финансового анализа, бюджетирование и управления денежными потоками</w:t>
            </w:r>
          </w:p>
        </w:tc>
        <w:tc>
          <w:tcPr>
            <w:tcW w:w="188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8B63E3" w:rsidTr="00477E11"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 xml:space="preserve">02 - 00026 </w:t>
            </w:r>
          </w:p>
        </w:tc>
        <w:tc>
          <w:tcPr>
            <w:tcW w:w="2204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>Главный бухгалтер организации государственного сектора с функцией управления финансами</w:t>
            </w:r>
          </w:p>
        </w:tc>
        <w:tc>
          <w:tcPr>
            <w:tcW w:w="2155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8B63E3" w:rsidTr="00477E11"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 xml:space="preserve">02 - 00027 </w:t>
            </w:r>
          </w:p>
        </w:tc>
        <w:tc>
          <w:tcPr>
            <w:tcW w:w="2204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>Главный бухгалтер финансовой организации с функцией управления финансами</w:t>
            </w:r>
          </w:p>
        </w:tc>
        <w:tc>
          <w:tcPr>
            <w:tcW w:w="2155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3E3" w:rsidRDefault="008B63E3" w:rsidP="00477E11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</w:tbl>
    <w:p w:rsidR="008B63E3" w:rsidRDefault="008B63E3" w:rsidP="008B63E3">
      <w:pPr>
        <w:shd w:val="clear" w:color="auto" w:fill="FFFFFF"/>
        <w:suppressAutoHyphens/>
        <w:rPr>
          <w:rFonts w:eastAsia="Times New Roman"/>
          <w:spacing w:val="-4"/>
          <w:sz w:val="24"/>
          <w:szCs w:val="24"/>
        </w:rPr>
        <w:sectPr w:rsidR="008B63E3" w:rsidSect="00CC184D">
          <w:pgSz w:w="16834" w:h="11909" w:orient="landscape"/>
          <w:pgMar w:top="1134" w:right="1134" w:bottom="1247" w:left="1134" w:header="720" w:footer="720" w:gutter="0"/>
          <w:cols w:space="60"/>
          <w:noEndnote/>
        </w:sectPr>
      </w:pPr>
      <w:bookmarkStart w:id="0" w:name="_GoBack"/>
      <w:bookmarkEnd w:id="0"/>
    </w:p>
    <w:p w:rsidR="0003760D" w:rsidRPr="008B63E3" w:rsidRDefault="0003760D" w:rsidP="008B63E3">
      <w:pPr>
        <w:tabs>
          <w:tab w:val="left" w:pos="3945"/>
        </w:tabs>
      </w:pPr>
    </w:p>
    <w:sectPr w:rsidR="0003760D" w:rsidRPr="008B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230" w:rsidRDefault="00AF5230" w:rsidP="008B63E3">
      <w:r>
        <w:separator/>
      </w:r>
    </w:p>
  </w:endnote>
  <w:endnote w:type="continuationSeparator" w:id="0">
    <w:p w:rsidR="00AF5230" w:rsidRDefault="00AF5230" w:rsidP="008B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230" w:rsidRDefault="00AF5230" w:rsidP="008B63E3">
      <w:r>
        <w:separator/>
      </w:r>
    </w:p>
  </w:footnote>
  <w:footnote w:type="continuationSeparator" w:id="0">
    <w:p w:rsidR="00AF5230" w:rsidRDefault="00AF5230" w:rsidP="008B6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E3"/>
    <w:rsid w:val="0003760D"/>
    <w:rsid w:val="008B63E3"/>
    <w:rsid w:val="00A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FE25C-16AD-4852-97E9-57CFCA72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63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B63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63E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B63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63E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2016-11-18T11:43:00Z</dcterms:created>
  <dcterms:modified xsi:type="dcterms:W3CDTF">2016-11-18T11:45:00Z</dcterms:modified>
</cp:coreProperties>
</file>